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237587" w:rsidP="00A975B8">
      <w:pPr>
        <w:pStyle w:val="Zhlav"/>
        <w:tabs>
          <w:tab w:val="left" w:pos="0"/>
        </w:tabs>
        <w:jc w:val="center"/>
        <w:rPr>
          <w:b/>
          <w:i/>
          <w:sz w:val="32"/>
          <w:szCs w:val="32"/>
        </w:rPr>
      </w:pPr>
      <w:r w:rsidRPr="00237587">
        <w:rPr>
          <w:b/>
          <w:sz w:val="32"/>
          <w:szCs w:val="32"/>
        </w:rPr>
        <w:t xml:space="preserve">Oblast Jih - </w:t>
      </w:r>
      <w:proofErr w:type="spellStart"/>
      <w:proofErr w:type="gramStart"/>
      <w:r w:rsidRPr="00237587">
        <w:rPr>
          <w:b/>
          <w:sz w:val="32"/>
          <w:szCs w:val="32"/>
        </w:rPr>
        <w:t>cestmistrovství</w:t>
      </w:r>
      <w:proofErr w:type="spellEnd"/>
      <w:r w:rsidRPr="00237587">
        <w:rPr>
          <w:b/>
          <w:sz w:val="32"/>
          <w:szCs w:val="32"/>
        </w:rPr>
        <w:t xml:space="preserve">  Břeclav</w:t>
      </w:r>
      <w:proofErr w:type="gramEnd"/>
      <w:r w:rsidRPr="00237587">
        <w:rPr>
          <w:b/>
          <w:sz w:val="32"/>
          <w:szCs w:val="32"/>
        </w:rPr>
        <w:t xml:space="preserve"> a Mikulov</w:t>
      </w:r>
      <w:r w:rsidRPr="00237587">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23758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237587" w:rsidRPr="00237587">
        <w:rPr>
          <w:sz w:val="22"/>
          <w:szCs w:val="22"/>
        </w:rPr>
        <w:t xml:space="preserve">Aleš Donát, e-mail: </w:t>
      </w:r>
      <w:hyperlink r:id="rId8" w:history="1">
        <w:r w:rsidR="00237587" w:rsidRPr="00237587">
          <w:rPr>
            <w:rStyle w:val="Hypertextovodkaz"/>
            <w:sz w:val="22"/>
            <w:szCs w:val="22"/>
          </w:rPr>
          <w:t>ales.donat@susjmk.cz</w:t>
        </w:r>
      </w:hyperlink>
      <w:r w:rsidR="00237587" w:rsidRPr="00237587">
        <w:rPr>
          <w:sz w:val="22"/>
          <w:szCs w:val="22"/>
        </w:rPr>
        <w:t>, tel. +420 737 237 107,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D601E9">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237587" w:rsidRPr="00237587">
        <w:rPr>
          <w:sz w:val="22"/>
          <w:szCs w:val="22"/>
        </w:rPr>
        <w:t>SÚS JMK, Oblast Jih, Lidická 3446/</w:t>
      </w:r>
      <w:proofErr w:type="gramStart"/>
      <w:r w:rsidR="00237587" w:rsidRPr="00237587">
        <w:rPr>
          <w:sz w:val="22"/>
          <w:szCs w:val="22"/>
        </w:rPr>
        <w:t>132A</w:t>
      </w:r>
      <w:proofErr w:type="gramEnd"/>
      <w:r w:rsidR="00237587" w:rsidRPr="00237587">
        <w:rPr>
          <w:sz w:val="22"/>
          <w:szCs w:val="22"/>
        </w:rPr>
        <w:t>, 690 03 Břeclav</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9F5C3C"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12143F">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9A33C2">
        <w:rPr>
          <w:sz w:val="22"/>
          <w:szCs w:val="22"/>
        </w:rPr>
        <w:t xml:space="preserve"> </w:t>
      </w:r>
      <w:r w:rsidR="00FC3F87">
        <w:rPr>
          <w:sz w:val="22"/>
          <w:szCs w:val="22"/>
        </w:rPr>
        <w:t>2</w:t>
      </w:r>
      <w:r w:rsidR="00477A5C">
        <w:rPr>
          <w:sz w:val="22"/>
          <w:szCs w:val="22"/>
        </w:rPr>
        <w:t xml:space="preserve"> písm.</w:t>
      </w:r>
      <w:r w:rsidR="009A33C2">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r>
              <w:rPr>
                <w:b/>
                <w:sz w:val="22"/>
                <w:szCs w:val="22"/>
                <w:u w:val="single"/>
              </w:rPr>
              <w:t xml:space="preserve">Oblast Jih - </w:t>
            </w: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Pr>
                <w:b/>
                <w:sz w:val="22"/>
                <w:szCs w:val="22"/>
                <w:u w:val="single"/>
              </w:rPr>
              <w:t xml:space="preserve"> Bře</w:t>
            </w:r>
            <w:r w:rsidRPr="00A975B8">
              <w:rPr>
                <w:b/>
                <w:sz w:val="22"/>
                <w:szCs w:val="22"/>
                <w:u w:val="single"/>
              </w:rPr>
              <w:t>clav</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381-010</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před Křepicemi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3,20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381-011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v Nikolčicích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za Divákami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3,90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proofErr w:type="gramStart"/>
            <w:r w:rsidRPr="00A133E7">
              <w:rPr>
                <w:rFonts w:ascii="Arial" w:hAnsi="Arial" w:cs="Arial"/>
                <w:sz w:val="20"/>
                <w:szCs w:val="20"/>
              </w:rPr>
              <w:t>414-006a</w:t>
            </w:r>
            <w:proofErr w:type="gramEnd"/>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průsakový kanál za Drnholcem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6,08</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418-016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Kašnici</w:t>
            </w:r>
            <w:proofErr w:type="spellEnd"/>
            <w:r w:rsidRPr="00A133E7">
              <w:rPr>
                <w:rFonts w:ascii="Arial" w:hAnsi="Arial" w:cs="Arial"/>
                <w:sz w:val="20"/>
                <w:szCs w:val="20"/>
              </w:rPr>
              <w:t xml:space="preserve"> v Krumvíři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8,00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421-002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Čejčský</w:t>
            </w:r>
            <w:proofErr w:type="spellEnd"/>
            <w:r w:rsidRPr="00A133E7">
              <w:rPr>
                <w:rFonts w:ascii="Arial" w:hAnsi="Arial" w:cs="Arial"/>
                <w:sz w:val="20"/>
                <w:szCs w:val="20"/>
              </w:rPr>
              <w:t xml:space="preserve"> potok za Terezínem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8,25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proofErr w:type="gramStart"/>
            <w:r w:rsidRPr="00A133E7">
              <w:rPr>
                <w:rFonts w:ascii="Arial" w:hAnsi="Arial" w:cs="Arial"/>
                <w:sz w:val="20"/>
                <w:szCs w:val="20"/>
              </w:rPr>
              <w:t>421-008a</w:t>
            </w:r>
            <w:proofErr w:type="gramEnd"/>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dálnici D2 za Velkými Pavlovicemi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56,80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422-045</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Zámeckou Dyji v Lednici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24,00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423-001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za Moravským Žižkovem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2,50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424-001</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trať ČD </w:t>
            </w:r>
            <w:proofErr w:type="gramStart"/>
            <w:r w:rsidRPr="00A133E7">
              <w:rPr>
                <w:rFonts w:ascii="Arial" w:hAnsi="Arial" w:cs="Arial"/>
                <w:sz w:val="20"/>
                <w:szCs w:val="20"/>
              </w:rPr>
              <w:t>Břeclav - Hodonín</w:t>
            </w:r>
            <w:proofErr w:type="gramEnd"/>
            <w:r w:rsidRPr="00A133E7">
              <w:rPr>
                <w:rFonts w:ascii="Arial" w:hAnsi="Arial" w:cs="Arial"/>
                <w:sz w:val="20"/>
                <w:szCs w:val="20"/>
              </w:rPr>
              <w:t xml:space="preserve">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48,46</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424-002</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trať ČD </w:t>
            </w:r>
            <w:proofErr w:type="gramStart"/>
            <w:r w:rsidRPr="00A133E7">
              <w:rPr>
                <w:rFonts w:ascii="Arial" w:hAnsi="Arial" w:cs="Arial"/>
                <w:sz w:val="20"/>
                <w:szCs w:val="20"/>
              </w:rPr>
              <w:t xml:space="preserve">Břeclav - </w:t>
            </w:r>
            <w:proofErr w:type="spellStart"/>
            <w:r w:rsidRPr="00A133E7">
              <w:rPr>
                <w:rFonts w:ascii="Arial" w:hAnsi="Arial" w:cs="Arial"/>
                <w:sz w:val="20"/>
                <w:szCs w:val="20"/>
              </w:rPr>
              <w:t>Kúty</w:t>
            </w:r>
            <w:proofErr w:type="spellEnd"/>
            <w:proofErr w:type="gramEnd"/>
            <w:r w:rsidRPr="00A133E7">
              <w:rPr>
                <w:rFonts w:ascii="Arial" w:hAnsi="Arial" w:cs="Arial"/>
                <w:sz w:val="20"/>
                <w:szCs w:val="20"/>
              </w:rPr>
              <w:t xml:space="preserve"> před Lanžhotem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27,20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425-021</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trať ČD </w:t>
            </w:r>
            <w:proofErr w:type="gramStart"/>
            <w:r w:rsidRPr="00A133E7">
              <w:rPr>
                <w:rFonts w:ascii="Arial" w:hAnsi="Arial" w:cs="Arial"/>
                <w:sz w:val="20"/>
                <w:szCs w:val="20"/>
              </w:rPr>
              <w:t xml:space="preserve">Břeclav - </w:t>
            </w:r>
            <w:proofErr w:type="spellStart"/>
            <w:r w:rsidRPr="00A133E7">
              <w:rPr>
                <w:rFonts w:ascii="Arial" w:hAnsi="Arial" w:cs="Arial"/>
                <w:sz w:val="20"/>
                <w:szCs w:val="20"/>
              </w:rPr>
              <w:t>Kúty</w:t>
            </w:r>
            <w:proofErr w:type="spellEnd"/>
            <w:proofErr w:type="gramEnd"/>
            <w:r w:rsidRPr="00A133E7">
              <w:rPr>
                <w:rFonts w:ascii="Arial" w:hAnsi="Arial" w:cs="Arial"/>
                <w:sz w:val="20"/>
                <w:szCs w:val="20"/>
              </w:rPr>
              <w:t xml:space="preserve"> za Břeclaví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14,60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425-022</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Svodnici za Břeclaví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5,08</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4211-2</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Trkmanku před Brumovicemi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8,10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4213-4</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Harasku</w:t>
            </w:r>
            <w:proofErr w:type="spellEnd"/>
            <w:r w:rsidRPr="00A133E7">
              <w:rPr>
                <w:rFonts w:ascii="Arial" w:hAnsi="Arial" w:cs="Arial"/>
                <w:sz w:val="20"/>
                <w:szCs w:val="20"/>
              </w:rPr>
              <w:t xml:space="preserve"> v Morkůvkách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5,60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4217-2</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Divácký potok před Divákami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00221-1</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Žižkovský potok za Břeclaví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2,54</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05526-3</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zátopní území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27,16</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4</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rsidP="00A133E7">
            <w:pPr>
              <w:jc w:val="right"/>
              <w:rPr>
                <w:rFonts w:ascii="Arial" w:hAnsi="Arial" w:cs="Arial"/>
                <w:sz w:val="20"/>
                <w:szCs w:val="20"/>
              </w:rPr>
            </w:pPr>
            <w:r w:rsidRPr="00A133E7">
              <w:rPr>
                <w:rFonts w:ascii="Arial" w:hAnsi="Arial" w:cs="Arial"/>
                <w:sz w:val="20"/>
                <w:szCs w:val="20"/>
              </w:rPr>
              <w:t>19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05526-4</w:t>
            </w:r>
          </w:p>
        </w:tc>
        <w:tc>
          <w:tcPr>
            <w:tcW w:w="4171" w:type="dxa"/>
            <w:gridSpan w:val="3"/>
            <w:tcBorders>
              <w:top w:val="single" w:sz="4" w:space="0" w:color="auto"/>
              <w:left w:val="nil"/>
              <w:bottom w:val="single" w:sz="4" w:space="0" w:color="auto"/>
              <w:right w:val="nil"/>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zátopní území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30,80</w:t>
            </w:r>
          </w:p>
        </w:tc>
        <w:tc>
          <w:tcPr>
            <w:tcW w:w="777"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rsidP="00A133E7">
            <w:pPr>
              <w:jc w:val="right"/>
              <w:rPr>
                <w:rFonts w:ascii="Arial" w:hAnsi="Arial" w:cs="Arial"/>
                <w:sz w:val="20"/>
                <w:szCs w:val="20"/>
              </w:rPr>
            </w:pPr>
            <w:r w:rsidRPr="00A133E7">
              <w:rPr>
                <w:rFonts w:ascii="Arial" w:hAnsi="Arial" w:cs="Arial"/>
                <w:sz w:val="20"/>
                <w:szCs w:val="20"/>
              </w:rPr>
              <w:t>20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42111-2</w:t>
            </w:r>
          </w:p>
        </w:tc>
        <w:tc>
          <w:tcPr>
            <w:tcW w:w="4171" w:type="dxa"/>
            <w:gridSpan w:val="3"/>
            <w:tcBorders>
              <w:top w:val="single" w:sz="4" w:space="0" w:color="auto"/>
              <w:left w:val="nil"/>
              <w:bottom w:val="single" w:sz="4" w:space="0" w:color="auto"/>
              <w:right w:val="nil"/>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Trkmanku za Bořeticemi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11,40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A133E7" w:rsidRDefault="00A133E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Pr>
                <w:b/>
                <w:sz w:val="22"/>
                <w:szCs w:val="22"/>
                <w:u w:val="single"/>
              </w:rPr>
              <w:t>Mikulov</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381-001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Mlýnský náhon před Velkým Dvorem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16,43</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381-003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zátopní území před Přibicemi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4,60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 xml:space="preserve">Most přes trať ČD </w:t>
            </w:r>
            <w:proofErr w:type="gramStart"/>
            <w:r w:rsidRPr="00A133E7">
              <w:rPr>
                <w:rFonts w:ascii="Arial" w:hAnsi="Arial" w:cs="Arial"/>
                <w:sz w:val="20"/>
                <w:szCs w:val="20"/>
              </w:rPr>
              <w:t>Vranovice - Pohořelice</w:t>
            </w:r>
            <w:proofErr w:type="gramEnd"/>
            <w:r w:rsidRPr="00A133E7">
              <w:rPr>
                <w:rFonts w:ascii="Arial" w:hAnsi="Arial" w:cs="Arial"/>
                <w:sz w:val="20"/>
                <w:szCs w:val="20"/>
              </w:rPr>
              <w:t xml:space="preserve"> před Vranovicemi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11,00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381-007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mlýnský náhon ve Velkých Němčicích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15,25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396-013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Olbramovický potok před Vlasaticemi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396-014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Miroslavku</w:t>
            </w:r>
            <w:proofErr w:type="spellEnd"/>
            <w:r w:rsidRPr="00A133E7">
              <w:rPr>
                <w:rFonts w:ascii="Arial" w:hAnsi="Arial" w:cs="Arial"/>
                <w:sz w:val="20"/>
                <w:szCs w:val="20"/>
              </w:rPr>
              <w:t xml:space="preserve"> ve Vlasaticích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414-006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Litobratřický</w:t>
            </w:r>
            <w:proofErr w:type="spellEnd"/>
            <w:r w:rsidRPr="00A133E7">
              <w:rPr>
                <w:rFonts w:ascii="Arial" w:hAnsi="Arial" w:cs="Arial"/>
                <w:sz w:val="20"/>
                <w:szCs w:val="20"/>
              </w:rPr>
              <w:t xml:space="preserve"> potok před Drnholcem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2,45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414-010</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před Dobrým Polem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416-020</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zátopní území v Pohořelicích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10,20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420-013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místní potok za Horními Věstonicemi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33E7" w:rsidRDefault="00A133E7" w:rsidP="00A133E7">
            <w:pPr>
              <w:jc w:val="right"/>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rPr>
                <w:rFonts w:ascii="Arial" w:hAnsi="Arial" w:cs="Arial"/>
                <w:sz w:val="20"/>
                <w:szCs w:val="20"/>
              </w:rPr>
            </w:pPr>
            <w:r w:rsidRPr="00A133E7">
              <w:rPr>
                <w:rFonts w:ascii="Arial" w:hAnsi="Arial" w:cs="Arial"/>
                <w:sz w:val="20"/>
                <w:szCs w:val="20"/>
              </w:rPr>
              <w:t>421-012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rPr>
                <w:rFonts w:ascii="Arial" w:hAnsi="Arial" w:cs="Arial"/>
                <w:sz w:val="20"/>
                <w:szCs w:val="20"/>
              </w:rPr>
            </w:pPr>
            <w:r w:rsidRPr="00A133E7">
              <w:rPr>
                <w:rFonts w:ascii="Arial" w:hAnsi="Arial" w:cs="Arial"/>
                <w:sz w:val="20"/>
                <w:szCs w:val="20"/>
              </w:rPr>
              <w:t>Most přes Dyji za Novými Mlýny</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86,36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lastRenderedPageBreak/>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3969-2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zátopové území před Šumicemi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3,05</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4144-1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Polní potok v Novosedlech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5,60</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4147-1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Dunajovický</w:t>
            </w:r>
            <w:proofErr w:type="spellEnd"/>
            <w:r w:rsidRPr="00A133E7">
              <w:rPr>
                <w:rFonts w:ascii="Arial" w:hAnsi="Arial" w:cs="Arial"/>
                <w:sz w:val="20"/>
                <w:szCs w:val="20"/>
              </w:rPr>
              <w:t xml:space="preserve"> potok v Dolních Dunajovicích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8,15</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4203-1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 xml:space="preserve">Most přes </w:t>
            </w:r>
            <w:proofErr w:type="spellStart"/>
            <w:r w:rsidRPr="00A133E7">
              <w:rPr>
                <w:rFonts w:ascii="Arial" w:hAnsi="Arial" w:cs="Arial"/>
                <w:sz w:val="20"/>
                <w:szCs w:val="20"/>
              </w:rPr>
              <w:t>Štinkovku</w:t>
            </w:r>
            <w:proofErr w:type="spellEnd"/>
            <w:r w:rsidRPr="00A133E7">
              <w:rPr>
                <w:rFonts w:ascii="Arial" w:hAnsi="Arial" w:cs="Arial"/>
                <w:sz w:val="20"/>
                <w:szCs w:val="20"/>
              </w:rPr>
              <w:t xml:space="preserve"> za Starovičkami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4,85</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00220-2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místní potok za Starovicemi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5,21</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39610-1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Olbramovický potok v Branišovicích</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2,70</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39611-2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místní potok před Vlasaticemi</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2,95</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39613-1</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Výhon před Drnholcem</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3E7" w:rsidRDefault="00A133E7" w:rsidP="00A133E7">
            <w:pPr>
              <w:jc w:val="right"/>
              <w:rPr>
                <w:rFonts w:ascii="Arial CE" w:hAnsi="Arial CE" w:cs="Arial CE"/>
                <w:sz w:val="20"/>
                <w:szCs w:val="20"/>
              </w:rPr>
            </w:pPr>
            <w:r>
              <w:rPr>
                <w:rFonts w:ascii="Arial CE" w:hAnsi="Arial CE" w:cs="Arial CE"/>
                <w:sz w:val="20"/>
                <w:szCs w:val="20"/>
              </w:rPr>
              <w:t>20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rPr>
                <w:rFonts w:ascii="Arial" w:hAnsi="Arial" w:cs="Arial"/>
                <w:sz w:val="20"/>
                <w:szCs w:val="20"/>
              </w:rPr>
            </w:pPr>
            <w:r w:rsidRPr="00A133E7">
              <w:rPr>
                <w:rFonts w:ascii="Arial" w:hAnsi="Arial" w:cs="Arial"/>
                <w:sz w:val="20"/>
                <w:szCs w:val="20"/>
              </w:rPr>
              <w:t>42117-7</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rPr>
                <w:rFonts w:ascii="Arial" w:hAnsi="Arial" w:cs="Arial"/>
                <w:sz w:val="20"/>
                <w:szCs w:val="20"/>
              </w:rPr>
            </w:pPr>
            <w:r w:rsidRPr="00A133E7">
              <w:rPr>
                <w:rFonts w:ascii="Arial" w:hAnsi="Arial" w:cs="Arial"/>
                <w:sz w:val="20"/>
                <w:szCs w:val="20"/>
              </w:rPr>
              <w:t>Most přes místní potok v Pavlově</w:t>
            </w:r>
          </w:p>
        </w:tc>
        <w:tc>
          <w:tcPr>
            <w:tcW w:w="821" w:type="dxa"/>
            <w:tcBorders>
              <w:top w:val="single" w:sz="4" w:space="0" w:color="auto"/>
              <w:left w:val="nil"/>
              <w:bottom w:val="single" w:sz="4" w:space="0" w:color="auto"/>
              <w:right w:val="single" w:sz="4" w:space="0" w:color="auto"/>
            </w:tcBorders>
            <w:shd w:val="clear" w:color="auto" w:fill="auto"/>
            <w:noWrap/>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3,95</w:t>
            </w:r>
          </w:p>
        </w:tc>
        <w:tc>
          <w:tcPr>
            <w:tcW w:w="708"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A133E7" w:rsidRPr="00A133E7" w:rsidRDefault="00A133E7">
            <w:pPr>
              <w:jc w:val="center"/>
              <w:rPr>
                <w:rFonts w:ascii="Arial" w:hAnsi="Arial" w:cs="Arial"/>
                <w:sz w:val="20"/>
                <w:szCs w:val="20"/>
              </w:rPr>
            </w:pPr>
            <w:r w:rsidRPr="00A133E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036FF0">
      <w:rPr>
        <w:noProof/>
      </w:rPr>
      <w:t>3</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36FF0">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955654" w:rsidRDefault="00A133E7" w:rsidP="00FF1BEF">
          <w:pPr>
            <w:spacing w:before="100" w:after="100" w:line="240" w:lineRule="exact"/>
          </w:pPr>
          <w:r>
            <w:rPr>
              <w:i/>
              <w:sz w:val="16"/>
              <w:szCs w:val="16"/>
            </w:rPr>
            <w:t xml:space="preserve">Hlavní prohlídky mostů v roce </w:t>
          </w:r>
          <w:proofErr w:type="gramStart"/>
          <w:r>
            <w:rPr>
              <w:i/>
              <w:sz w:val="16"/>
              <w:szCs w:val="16"/>
            </w:rPr>
            <w:t xml:space="preserve">2024  </w:t>
          </w:r>
          <w:r w:rsidRPr="00237587">
            <w:rPr>
              <w:b/>
              <w:i/>
              <w:sz w:val="16"/>
              <w:szCs w:val="16"/>
            </w:rPr>
            <w:t>Oblast</w:t>
          </w:r>
          <w:proofErr w:type="gramEnd"/>
          <w:r w:rsidRPr="00237587">
            <w:rPr>
              <w:b/>
              <w:i/>
              <w:sz w:val="16"/>
              <w:szCs w:val="16"/>
            </w:rPr>
            <w:t xml:space="preserve"> Jih - </w:t>
          </w:r>
          <w:proofErr w:type="spellStart"/>
          <w:r w:rsidRPr="00237587">
            <w:rPr>
              <w:b/>
              <w:i/>
              <w:sz w:val="16"/>
              <w:szCs w:val="16"/>
            </w:rPr>
            <w:t>cestmistrovství</w:t>
          </w:r>
          <w:proofErr w:type="spellEnd"/>
          <w:r w:rsidRPr="00237587">
            <w:rPr>
              <w:b/>
              <w:i/>
              <w:sz w:val="16"/>
              <w:szCs w:val="16"/>
            </w:rPr>
            <w:t xml:space="preserve">  Břeclav a Mikulov</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143F"/>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0F3"/>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A33C2"/>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9F5C3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01E9"/>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F921E6"/>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C026F-151C-4032-B5E9-D59053FC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8</Pages>
  <Words>2199</Words>
  <Characters>12975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50</cp:revision>
  <cp:lastPrinted>2019-02-11T11:28:00Z</cp:lastPrinted>
  <dcterms:created xsi:type="dcterms:W3CDTF">2018-02-21T09:59:00Z</dcterms:created>
  <dcterms:modified xsi:type="dcterms:W3CDTF">2024-04-18T06:36:00Z</dcterms:modified>
</cp:coreProperties>
</file>